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A8" w:rsidRPr="00A25EA8" w:rsidRDefault="00A25EA8" w:rsidP="00A25EA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25EA8">
        <w:rPr>
          <w:rFonts w:ascii="Times New Roman" w:eastAsia="Times New Roman" w:hAnsi="Times New Roman" w:cs="Times New Roman"/>
          <w:b/>
          <w:bCs/>
          <w:kern w:val="36"/>
          <w:sz w:val="48"/>
          <w:szCs w:val="48"/>
          <w:lang w:eastAsia="pl-PL"/>
        </w:rPr>
        <w:t>Przebieg egzaminu</w:t>
      </w:r>
    </w:p>
    <w:p w:rsidR="00A25EA8" w:rsidRPr="00A25EA8" w:rsidRDefault="00A25EA8" w:rsidP="00A25EA8">
      <w:pPr>
        <w:spacing w:after="0"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pict>
          <v:rect id="_x0000_i1025" style="width:0;height:1.5pt" o:hralign="center" o:hrstd="t" o:hr="t" fillcolor="#a0a0a0" stroked="f"/>
        </w:pic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Egzamin mistrzowski składa się z dwóch etapów: praktycznego i teoretycznego. Etap teoretyczny składa się z części pisemnej i z części ustnej.</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Kandydat zgłasza się na każdy etap egzaminu z dowodem osobistym lub innym dokumentem ze zdjęciem potwierdzającym</w:t>
      </w:r>
      <w:bookmarkStart w:id="0" w:name="_GoBack"/>
      <w:bookmarkEnd w:id="0"/>
      <w:r w:rsidRPr="00A25EA8">
        <w:rPr>
          <w:rFonts w:ascii="Times New Roman" w:eastAsia="Times New Roman" w:hAnsi="Times New Roman" w:cs="Times New Roman"/>
          <w:sz w:val="24"/>
          <w:szCs w:val="24"/>
          <w:lang w:eastAsia="pl-PL"/>
        </w:rPr>
        <w:t xml:space="preserve"> jego tożsamość.</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Czas trwania etapu praktycznego nie może być krótszy niż 120 minut i nie może być dłuższy niż 24 godziny łącznie w ciągu trzech dni. Etap praktyczny odbywa się u pracodawców lub w warsztatach szkoleniowych.</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Etap teoretyczny egzaminu odbywa się w Wielkopolskiej Izbie Rzemieślniczej w Poznaniu lub w Biurach Pełnomocnika Izby w Pile, Lesznie i Koninie.</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Etap teoretyczny rozpoczyna się od części pisemnej, która polega na rozwiązaniu testu wyboru. Kandydat udziela odpowiedzi na pytania z zakresu następujących tematów:</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rachunkowość zawodowa wraz z kalkulacją,</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dokumentacja działalności gospodarczej,</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rysunek zawodowy,</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zasady bezpieczeństwa i higieny pracy oraz ochrony przeciwpożarowej,</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podstawowe zasady ochrony środowiska,</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podstawowe przepisy prawa pracy,</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podstawowa problematyka z zakresu podejmowania działalności gospodarczej i zarządzania przedsiębiorstwem,</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podstawy psychologii i pedagogiki,</w:t>
      </w:r>
    </w:p>
    <w:p w:rsidR="00A25EA8" w:rsidRPr="00A25EA8" w:rsidRDefault="00A25EA8" w:rsidP="00A25EA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metodyka nauczania.</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Każdy zdający otrzymuje zestaw pytań egzaminacyjnych posiadający określony numer. Na każdy wyżej wymieniony temat udziela odpowiedzi na 7 pytań. Każde pytanie zawiera trzy propozycje odpowiedzi, z  których tylko jedna jest prawidłowa.</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Po wystawieniu ocen z części pisemnej egzaminu rozpoczyna się część ustna, która polega na udzieleniu przez zdającego odpowiedzi na pytania z zakresu następujących tematów:</w:t>
      </w:r>
    </w:p>
    <w:p w:rsidR="00A25EA8" w:rsidRPr="00A25EA8" w:rsidRDefault="00A25EA8" w:rsidP="00A25EA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technologia,</w:t>
      </w:r>
    </w:p>
    <w:p w:rsidR="00A25EA8" w:rsidRPr="00A25EA8" w:rsidRDefault="00A25EA8" w:rsidP="00A25EA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maszynoznawstwo,</w:t>
      </w:r>
    </w:p>
    <w:p w:rsidR="00A25EA8" w:rsidRPr="00A25EA8" w:rsidRDefault="00A25EA8" w:rsidP="00A25EA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materiałoznawstwo.</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Zdający losuje zestaw pytań, następnie przygotowuje się do udzielenia odpowiedzi przez około 10 minut i po zaproszeniu przez zespół egzaminacyjny do stołu komisji przystępuje do udzielenia odpowiedzi. Odpowiedziom tym przysłuchuje się cały zespół egzaminacyjny, który wspólnie ustala oceny za odpowiedzi na poszczególne pytania. Czas trwania części ustnej nie może być dłuższy niż 30 minut.</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Każdy zestaw pytań ustnych składa się z  3 oddzielnych zestawów obejmujących po 3 pytania z każdego tematu.</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lastRenderedPageBreak/>
        <w:t>Po sporządzeniu przez sekretarza protokołów indywidualnych kandydatów i protokołu zbiorczego egzaminu wszyscy uczestnicy egzaminu składają podpisy na protokołach.  </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Na zakończenie egzaminu przewodniczący ogłasza wyniki egzaminu. Osoby, które zdały egzamin, otrzymują dyplom mistrzowski. </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Osoby, które nie zdały egzaminu otrzymują zaświadczenie o niezłożeniu egzaminu, w którym zamieszczona jest informacja, z których tematów lub zadań uzyskały oceny niedostateczne. Zdający, który otrzymał ocenę niedostateczną ma prawo przystąpić do egzaminu poprawkowego obejmującego tylko ten temat lub tematy albo to zadanie lub zadania, z których otrzymał ocenę niedostateczną.</w:t>
      </w:r>
    </w:p>
    <w:p w:rsidR="00A25EA8" w:rsidRPr="00A25EA8" w:rsidRDefault="00A25EA8" w:rsidP="00A25EA8">
      <w:pPr>
        <w:spacing w:before="100" w:beforeAutospacing="1" w:after="100" w:afterAutospacing="1" w:line="240" w:lineRule="auto"/>
        <w:rPr>
          <w:rFonts w:ascii="Times New Roman" w:eastAsia="Times New Roman" w:hAnsi="Times New Roman" w:cs="Times New Roman"/>
          <w:sz w:val="24"/>
          <w:szCs w:val="24"/>
          <w:lang w:eastAsia="pl-PL"/>
        </w:rPr>
      </w:pPr>
      <w:r w:rsidRPr="00A25EA8">
        <w:rPr>
          <w:rFonts w:ascii="Times New Roman" w:eastAsia="Times New Roman" w:hAnsi="Times New Roman" w:cs="Times New Roman"/>
          <w:sz w:val="24"/>
          <w:szCs w:val="24"/>
          <w:lang w:eastAsia="pl-PL"/>
        </w:rPr>
        <w:t>W celu przystąpienia do egzaminu poprawkowego kandydat powinien złożyć do Izby wymienione zaświadczenie o niezłożeniu egzaminu, wypełniony wniosek o dopuszczenie do egzaminu mistrzowskiego, oraz dowód opłaty za egzamin poprawkowy.</w:t>
      </w:r>
    </w:p>
    <w:p w:rsidR="00587C19" w:rsidRDefault="00587C19"/>
    <w:sectPr w:rsidR="00587C19" w:rsidSect="00A25EA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1BDE"/>
    <w:multiLevelType w:val="multilevel"/>
    <w:tmpl w:val="7C02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B41909"/>
    <w:multiLevelType w:val="multilevel"/>
    <w:tmpl w:val="6A12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A8"/>
    <w:rsid w:val="00587C19"/>
    <w:rsid w:val="00A25E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6103">
      <w:bodyDiv w:val="1"/>
      <w:marLeft w:val="0"/>
      <w:marRight w:val="0"/>
      <w:marTop w:val="0"/>
      <w:marBottom w:val="0"/>
      <w:divBdr>
        <w:top w:val="none" w:sz="0" w:space="0" w:color="auto"/>
        <w:left w:val="none" w:sz="0" w:space="0" w:color="auto"/>
        <w:bottom w:val="none" w:sz="0" w:space="0" w:color="auto"/>
        <w:right w:val="none" w:sz="0" w:space="0" w:color="auto"/>
      </w:divBdr>
      <w:divsChild>
        <w:div w:id="174352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2626</Characters>
  <Application>Microsoft Office Word</Application>
  <DocSecurity>0</DocSecurity>
  <Lines>21</Lines>
  <Paragraphs>6</Paragraphs>
  <ScaleCrop>false</ScaleCrop>
  <Company>Hewlett-Packard Company</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dcterms:created xsi:type="dcterms:W3CDTF">2015-04-10T05:41:00Z</dcterms:created>
  <dcterms:modified xsi:type="dcterms:W3CDTF">2015-04-10T05:44:00Z</dcterms:modified>
</cp:coreProperties>
</file>